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_GB2312" w:hAnsi="宋体" w:eastAsia="Times New Roman"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浮山县人力资源和社会保障</w:t>
      </w:r>
      <w:r>
        <w:rPr>
          <w:rFonts w:hint="eastAsia" w:ascii="方正小标宋简体" w:hAnsi="华文中宋" w:eastAsia="方正小标宋简体"/>
          <w:kern w:val="0"/>
          <w:sz w:val="44"/>
          <w:szCs w:val="44"/>
        </w:rPr>
        <w:t>局</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一、本部门职责</w:t>
      </w:r>
    </w:p>
    <w:p>
      <w:pPr>
        <w:widowControl/>
        <w:tabs>
          <w:tab w:val="left" w:pos="1005"/>
        </w:tabs>
        <w:spacing w:line="375"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主要承担的职能为，以促进就业、维护劳动关系稳定和完善社会保障体系为核心的社会管理和公共服务职能；以机关事业单位公职人员管理为核心的公共人事管理职能。贯彻执行国家人力资源和社会保障事业发展规划和政策法规，拟定全县人力资源和社会保障事业发展规划和年度计划，贯彻落实人力资源和社会保障地方性法规、规章制度，并组织实施和监督检查。负责全县促进就业工作，统筹建立覆盖城乡的社会保障体系，拟定并组织实施城乡社会保险及其补充保险政策和标准，组织拟定全县统一的社会保险关系转移接续办法，会同有关部门拟定社会保险及补充保险基金管理和监督办法，编制全县社会保险基金预决算草案。负责全县就业、失业、社会保险基金预测预警和信息引导，拟定应对预案</w:t>
      </w:r>
      <w:r>
        <w:rPr>
          <w:rFonts w:ascii="仿宋" w:hAnsi="仿宋" w:eastAsia="仿宋" w:cs="仿宋"/>
          <w:kern w:val="0"/>
          <w:sz w:val="32"/>
          <w:szCs w:val="32"/>
        </w:rPr>
        <w:t>,</w:t>
      </w:r>
      <w:r>
        <w:rPr>
          <w:rFonts w:hint="eastAsia" w:ascii="仿宋" w:hAnsi="仿宋" w:eastAsia="仿宋" w:cs="仿宋"/>
          <w:kern w:val="0"/>
          <w:sz w:val="32"/>
          <w:szCs w:val="32"/>
        </w:rPr>
        <w:t>实施预防、调节和控制</w:t>
      </w:r>
      <w:r>
        <w:rPr>
          <w:rFonts w:ascii="仿宋" w:hAnsi="仿宋" w:eastAsia="仿宋" w:cs="仿宋"/>
          <w:kern w:val="0"/>
          <w:sz w:val="32"/>
          <w:szCs w:val="32"/>
        </w:rPr>
        <w:t>,</w:t>
      </w:r>
      <w:r>
        <w:rPr>
          <w:rFonts w:hint="eastAsia" w:ascii="仿宋" w:hAnsi="仿宋" w:eastAsia="仿宋" w:cs="仿宋"/>
          <w:kern w:val="0"/>
          <w:sz w:val="32"/>
          <w:szCs w:val="32"/>
        </w:rPr>
        <w:t>保持就业形势稳定和社会保险基金总体收支平衡。负责统筹全县机关企事业单位人员管理工作会同有关部门指导事业单位人事制度改革</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二、机构设置情况</w:t>
      </w:r>
    </w:p>
    <w:p>
      <w:pPr>
        <w:widowControl/>
        <w:spacing w:line="375" w:lineRule="atLeast"/>
        <w:ind w:firstLine="640" w:firstLineChars="200"/>
        <w:jc w:val="left"/>
        <w:rPr>
          <w:rFonts w:ascii="仿宋" w:hAnsi="仿宋" w:eastAsia="仿宋" w:cs="仿宋"/>
          <w:b/>
          <w:kern w:val="0"/>
          <w:sz w:val="32"/>
          <w:szCs w:val="32"/>
        </w:rPr>
      </w:pPr>
      <w:r>
        <w:rPr>
          <w:rFonts w:hint="eastAsia" w:ascii="仿宋" w:hAnsi="仿宋" w:eastAsia="仿宋" w:cs="仿宋"/>
          <w:kern w:val="0"/>
          <w:sz w:val="32"/>
          <w:szCs w:val="32"/>
        </w:rPr>
        <w:t>人力资源和社会保障局是</w:t>
      </w:r>
      <w:r>
        <w:rPr>
          <w:rFonts w:ascii="仿宋" w:hAnsi="仿宋" w:eastAsia="仿宋" w:cs="仿宋"/>
          <w:kern w:val="0"/>
          <w:sz w:val="32"/>
          <w:szCs w:val="32"/>
        </w:rPr>
        <w:t>2010</w:t>
      </w:r>
      <w:r>
        <w:rPr>
          <w:rFonts w:hint="eastAsia" w:ascii="仿宋" w:hAnsi="仿宋" w:eastAsia="仿宋" w:cs="仿宋"/>
          <w:kern w:val="0"/>
          <w:sz w:val="32"/>
          <w:szCs w:val="32"/>
        </w:rPr>
        <w:t>年</w:t>
      </w:r>
      <w:r>
        <w:rPr>
          <w:rFonts w:ascii="仿宋" w:hAnsi="仿宋" w:eastAsia="仿宋" w:cs="仿宋"/>
          <w:kern w:val="0"/>
          <w:sz w:val="32"/>
          <w:szCs w:val="32"/>
        </w:rPr>
        <w:t>3</w:t>
      </w:r>
      <w:r>
        <w:rPr>
          <w:rFonts w:hint="eastAsia" w:ascii="仿宋" w:hAnsi="仿宋" w:eastAsia="仿宋" w:cs="仿宋"/>
          <w:kern w:val="0"/>
          <w:sz w:val="32"/>
          <w:szCs w:val="32"/>
        </w:rPr>
        <w:t>月份机构改革后，新组建的部门。内设一室六股：办公室、人力资源管理股</w:t>
      </w:r>
      <w:r>
        <w:rPr>
          <w:rFonts w:ascii="仿宋" w:hAnsi="仿宋" w:eastAsia="仿宋" w:cs="仿宋"/>
          <w:kern w:val="0"/>
          <w:sz w:val="32"/>
          <w:szCs w:val="32"/>
        </w:rPr>
        <w:t>(</w:t>
      </w:r>
      <w:r>
        <w:rPr>
          <w:rFonts w:hint="eastAsia" w:ascii="仿宋" w:hAnsi="仿宋" w:eastAsia="仿宋" w:cs="仿宋"/>
          <w:kern w:val="0"/>
          <w:sz w:val="32"/>
          <w:szCs w:val="32"/>
        </w:rPr>
        <w:t>挂公务员股牌子）、社会保险股、工资福利股、劳动人事争议仲裁股（挂执法监察股牌子）、事业单位和专业技术人员管理股、职业能力建设股，下设</w:t>
      </w:r>
      <w:r>
        <w:rPr>
          <w:rFonts w:ascii="仿宋" w:hAnsi="仿宋" w:eastAsia="仿宋" w:cs="仿宋"/>
          <w:kern w:val="0"/>
          <w:sz w:val="32"/>
          <w:szCs w:val="32"/>
        </w:rPr>
        <w:t>21</w:t>
      </w:r>
      <w:r>
        <w:rPr>
          <w:rFonts w:hint="eastAsia" w:ascii="仿宋" w:hAnsi="仿宋" w:eastAsia="仿宋" w:cs="仿宋"/>
          <w:kern w:val="0"/>
          <w:sz w:val="32"/>
          <w:szCs w:val="32"/>
        </w:rPr>
        <w:t>个事业单位：</w:t>
      </w:r>
      <w:r>
        <w:rPr>
          <w:rFonts w:ascii="仿宋" w:hAnsi="仿宋" w:eastAsia="仿宋" w:cs="仿宋"/>
          <w:kern w:val="0"/>
          <w:sz w:val="32"/>
          <w:szCs w:val="32"/>
        </w:rPr>
        <w:t>7</w:t>
      </w:r>
      <w:r>
        <w:rPr>
          <w:rFonts w:hint="eastAsia" w:ascii="仿宋" w:hAnsi="仿宋" w:eastAsia="仿宋" w:cs="仿宋"/>
          <w:kern w:val="0"/>
          <w:sz w:val="32"/>
          <w:szCs w:val="32"/>
        </w:rPr>
        <w:t>个社会保险中心、人才交流服务中心、职业介绍中心、技能培训中心、维权中心、劳动保障监察执法队、</w:t>
      </w:r>
      <w:r>
        <w:rPr>
          <w:rFonts w:ascii="仿宋" w:hAnsi="仿宋" w:eastAsia="仿宋" w:cs="仿宋"/>
          <w:kern w:val="0"/>
          <w:sz w:val="32"/>
          <w:szCs w:val="32"/>
        </w:rPr>
        <w:t>9</w:t>
      </w:r>
      <w:r>
        <w:rPr>
          <w:rFonts w:hint="eastAsia" w:ascii="仿宋" w:hAnsi="仿宋" w:eastAsia="仿宋" w:cs="仿宋"/>
          <w:kern w:val="0"/>
          <w:sz w:val="32"/>
          <w:szCs w:val="32"/>
        </w:rPr>
        <w:t>个乡镇劳动保障所）。在职工作人员、退休人员共计</w:t>
      </w:r>
      <w:r>
        <w:rPr>
          <w:rFonts w:ascii="仿宋" w:hAnsi="仿宋" w:eastAsia="仿宋" w:cs="仿宋"/>
          <w:kern w:val="0"/>
          <w:sz w:val="32"/>
          <w:szCs w:val="32"/>
        </w:rPr>
        <w:t>163</w:t>
      </w:r>
      <w:r>
        <w:rPr>
          <w:rFonts w:hint="eastAsia" w:ascii="仿宋" w:hAnsi="仿宋" w:eastAsia="仿宋" w:cs="仿宋"/>
          <w:kern w:val="0"/>
          <w:sz w:val="32"/>
          <w:szCs w:val="32"/>
        </w:rPr>
        <w:t>人。</w:t>
      </w:r>
    </w:p>
    <w:p>
      <w:pPr>
        <w:widowControl/>
        <w:spacing w:line="560" w:lineRule="exact"/>
        <w:ind w:firstLine="640"/>
        <w:rPr>
          <w:rFonts w:ascii="??_GB2312" w:hAnsi="楷体" w:eastAsia="Times New Roman"/>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_GB2312" w:hAnsi="楷体"/>
          <w:kern w:val="0"/>
          <w:sz w:val="32"/>
          <w:szCs w:val="32"/>
        </w:rPr>
      </w:pPr>
      <w:r>
        <w:rPr>
          <w:rFonts w:ascii="??_GB2312" w:hAnsi="楷体" w:eastAsia="Times New Roman"/>
          <w:kern w:val="0"/>
          <w:sz w:val="32"/>
          <w:szCs w:val="32"/>
        </w:rPr>
        <w:t>一、人力资源和社会保障局2018年预算收支总表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二、人力资源和社会保障局2018年预算收入总表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三、人力资源和社会保障局2018年预算支出总表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四、人力资源和社会保障局2018年财政拨款收支总表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五、人力资源和社会保障局2018年一般公共预算支出预算表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六、人力资源和社会保障局2018年一般公共预算安排基本支出分经济科目表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七、人力资源和社会保障局2018年政府性基金预算收入预算表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八、人力资源和社会保障局2018年政府性基金预算支出预算表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九、人力资源和社会保障局2018年“三公”经费预算财政拨款情况统计表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十、人力资源和社会保障局2018年机关运行经费预算财政拨款情况统计表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ascii="??_GB2312" w:hAnsi="楷体" w:eastAsia="Times New Roman"/>
          <w:kern w:val="0"/>
          <w:sz w:val="32"/>
          <w:szCs w:val="32"/>
        </w:rPr>
        <w:t>十一、人力资源和社会保障局2018年县级财政项目支出绩效目标表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_GB2312" w:hAnsi="楷体"/>
          <w:kern w:val="0"/>
          <w:sz w:val="32"/>
          <w:szCs w:val="32"/>
        </w:rPr>
      </w:pPr>
      <w:r>
        <w:rPr>
          <w:rFonts w:ascii="??_GB2312" w:hAnsi="楷体" w:eastAsia="Times New Roman"/>
          <w:kern w:val="0"/>
          <w:sz w:val="32"/>
          <w:szCs w:val="32"/>
        </w:rPr>
        <w:t>一、2018年度部门预算数据变动情况及原因</w:t>
      </w:r>
    </w:p>
    <w:p>
      <w:pPr>
        <w:widowControl/>
        <w:spacing w:line="560" w:lineRule="exact"/>
        <w:ind w:firstLine="636"/>
        <w:rPr>
          <w:rFonts w:hint="eastAsia" w:ascii="??_GB2312" w:hAnsi="楷体"/>
          <w:kern w:val="0"/>
          <w:sz w:val="32"/>
          <w:szCs w:val="32"/>
          <w:lang w:val="en-US" w:eastAsia="zh-CN"/>
        </w:rPr>
      </w:pPr>
      <w:r>
        <w:rPr>
          <w:rFonts w:ascii="??_GB2312" w:hAnsi="楷体"/>
          <w:kern w:val="0"/>
          <w:sz w:val="32"/>
          <w:szCs w:val="32"/>
        </w:rPr>
        <w:t xml:space="preserve">  2018 </w:t>
      </w:r>
      <w:r>
        <w:rPr>
          <w:rFonts w:hint="eastAsia" w:ascii="??_GB2312" w:hAnsi="楷体"/>
          <w:kern w:val="0"/>
          <w:sz w:val="32"/>
          <w:szCs w:val="32"/>
        </w:rPr>
        <w:t>年部门预算为</w:t>
      </w:r>
      <w:r>
        <w:rPr>
          <w:rFonts w:ascii="??_GB2312" w:hAnsi="楷体"/>
          <w:kern w:val="0"/>
          <w:sz w:val="32"/>
          <w:szCs w:val="32"/>
        </w:rPr>
        <w:t>2042.4</w:t>
      </w:r>
      <w:r>
        <w:rPr>
          <w:rFonts w:hint="eastAsia" w:ascii="??_GB2312" w:hAnsi="楷体"/>
          <w:kern w:val="0"/>
          <w:sz w:val="32"/>
          <w:szCs w:val="32"/>
        </w:rPr>
        <w:t>万元，</w:t>
      </w:r>
      <w:r>
        <w:rPr>
          <w:rFonts w:ascii="??_GB2312" w:hAnsi="楷体"/>
          <w:kern w:val="0"/>
          <w:sz w:val="32"/>
          <w:szCs w:val="32"/>
        </w:rPr>
        <w:t>2017</w:t>
      </w:r>
      <w:r>
        <w:rPr>
          <w:rFonts w:hint="eastAsia" w:ascii="??_GB2312" w:hAnsi="楷体"/>
          <w:kern w:val="0"/>
          <w:sz w:val="32"/>
          <w:szCs w:val="32"/>
        </w:rPr>
        <w:t>年部门预算为</w:t>
      </w:r>
      <w:r>
        <w:rPr>
          <w:rFonts w:ascii="??_GB2312" w:hAnsi="楷体"/>
          <w:kern w:val="0"/>
          <w:sz w:val="32"/>
          <w:szCs w:val="32"/>
        </w:rPr>
        <w:t>1301.47</w:t>
      </w:r>
      <w:r>
        <w:rPr>
          <w:rFonts w:hint="eastAsia" w:ascii="??_GB2312" w:hAnsi="楷体"/>
          <w:kern w:val="0"/>
          <w:sz w:val="32"/>
          <w:szCs w:val="32"/>
        </w:rPr>
        <w:t>万元，</w:t>
      </w:r>
      <w:r>
        <w:rPr>
          <w:rFonts w:ascii="??_GB2312" w:hAnsi="楷体"/>
          <w:kern w:val="0"/>
          <w:sz w:val="32"/>
          <w:szCs w:val="32"/>
        </w:rPr>
        <w:t>2018</w:t>
      </w:r>
      <w:r>
        <w:rPr>
          <w:rFonts w:hint="eastAsia" w:ascii="??_GB2312" w:hAnsi="楷体"/>
          <w:kern w:val="0"/>
          <w:sz w:val="32"/>
          <w:szCs w:val="32"/>
        </w:rPr>
        <w:t>年比</w:t>
      </w:r>
      <w:r>
        <w:rPr>
          <w:rFonts w:ascii="??_GB2312" w:hAnsi="楷体"/>
          <w:kern w:val="0"/>
          <w:sz w:val="32"/>
          <w:szCs w:val="32"/>
        </w:rPr>
        <w:t>2017</w:t>
      </w:r>
      <w:r>
        <w:rPr>
          <w:rFonts w:hint="eastAsia" w:ascii="??_GB2312" w:hAnsi="楷体"/>
          <w:kern w:val="0"/>
          <w:sz w:val="32"/>
          <w:szCs w:val="32"/>
        </w:rPr>
        <w:t>年部门预算数增加了</w:t>
      </w:r>
      <w:r>
        <w:rPr>
          <w:rFonts w:ascii="??_GB2312" w:hAnsi="楷体"/>
          <w:kern w:val="0"/>
          <w:sz w:val="32"/>
          <w:szCs w:val="32"/>
        </w:rPr>
        <w:t>740.93</w:t>
      </w:r>
      <w:r>
        <w:rPr>
          <w:rFonts w:hint="eastAsia" w:ascii="??_GB2312" w:hAnsi="楷体"/>
          <w:kern w:val="0"/>
          <w:sz w:val="32"/>
          <w:szCs w:val="32"/>
        </w:rPr>
        <w:t>万元。主要原因是</w:t>
      </w:r>
      <w:r>
        <w:rPr>
          <w:rFonts w:hint="eastAsia" w:ascii="??_GB2312" w:hAnsi="楷体"/>
          <w:kern w:val="0"/>
          <w:sz w:val="32"/>
          <w:szCs w:val="32"/>
          <w:lang w:eastAsia="zh-CN"/>
        </w:rPr>
        <w:t>：</w:t>
      </w:r>
      <w:r>
        <w:rPr>
          <w:rFonts w:hint="eastAsia" w:ascii="??_GB2312" w:hAnsi="楷体"/>
          <w:kern w:val="0"/>
          <w:sz w:val="32"/>
          <w:szCs w:val="32"/>
          <w:lang w:val="en-US" w:eastAsia="zh-CN"/>
        </w:rPr>
        <w:t>2017年所列归口管理行政事业单位离退休及基本养老金，2018年不再使用此科目。2018年新增了机关事业单位基本养老保险费支出、机关事业单位职业年金缴费支出、财政对基本养老保险基金的补助。增加了企业职工基本养老保险基金支出33万元。机构合并，增加了新型农村合作医疗基金支出440万元。社会保障和就业支出预算增加了245.37万元。</w:t>
      </w:r>
      <w:bookmarkStart w:id="0" w:name="_GoBack"/>
      <w:bookmarkEnd w:id="0"/>
      <w:r>
        <w:rPr>
          <w:rFonts w:hint="eastAsia" w:ascii="??_GB2312" w:hAnsi="楷体"/>
          <w:kern w:val="0"/>
          <w:sz w:val="32"/>
          <w:szCs w:val="32"/>
          <w:lang w:val="en-US" w:eastAsia="zh-CN"/>
        </w:rPr>
        <w:t>到龄退休了5人。</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二、“三公”经费增减变动原因说明</w:t>
      </w:r>
    </w:p>
    <w:p>
      <w:pPr>
        <w:widowControl/>
        <w:spacing w:line="560" w:lineRule="exact"/>
        <w:ind w:firstLine="636"/>
        <w:rPr>
          <w:rFonts w:ascii="??_GB2312" w:eastAsia="Times New Roman"/>
          <w:sz w:val="32"/>
          <w:szCs w:val="32"/>
        </w:rPr>
      </w:pPr>
      <w:r>
        <w:rPr>
          <w:rFonts w:ascii="??_GB2312" w:eastAsia="Times New Roman"/>
          <w:sz w:val="32"/>
          <w:szCs w:val="32"/>
        </w:rPr>
        <w:t>2018年一般公共预算安排的“三公”经费预算6.5万元，比2017年减少0.5万元，原因是公务车运行维护费减少、公务接待费2017年没预算，2018年预算了0.5万元。其中：因公出国（境）费用0万元，比上年减少（增加）0万元；公务接待费</w:t>
      </w:r>
      <w:r>
        <w:rPr>
          <w:rFonts w:ascii="仿宋" w:hAnsi="仿宋" w:eastAsia="仿宋"/>
          <w:sz w:val="32"/>
          <w:szCs w:val="32"/>
        </w:rPr>
        <w:t>0.5</w:t>
      </w:r>
      <w:r>
        <w:rPr>
          <w:rFonts w:ascii="??_GB2312" w:eastAsia="Times New Roman"/>
          <w:sz w:val="32"/>
          <w:szCs w:val="32"/>
        </w:rPr>
        <w:t>万元，比上年增加0.5万元，公务用车运行维护费5万元，比上年减少0.5万元；公务用车购置费0元，比上年减少（增加）0万元。（注：分项数如有增加，也应说明理由。</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三、机关运行经费增减变动原因说明</w:t>
      </w:r>
    </w:p>
    <w:p>
      <w:pPr>
        <w:widowControl/>
        <w:spacing w:line="560" w:lineRule="exact"/>
        <w:ind w:firstLine="636"/>
        <w:rPr>
          <w:rFonts w:ascii="??_GB2312" w:hAnsi="仿宋" w:eastAsia="Times New Roman"/>
          <w:kern w:val="0"/>
          <w:sz w:val="32"/>
          <w:szCs w:val="32"/>
        </w:rPr>
      </w:pPr>
      <w:r>
        <w:rPr>
          <w:rFonts w:ascii="??_GB2312" w:hAnsi="楷体" w:eastAsia="Times New Roman"/>
          <w:kern w:val="0"/>
          <w:sz w:val="32"/>
          <w:szCs w:val="32"/>
        </w:rPr>
        <w:t>人力资源和社会保障局</w:t>
      </w:r>
      <w:r>
        <w:rPr>
          <w:rFonts w:ascii="??_GB2312" w:hAnsi="仿宋" w:eastAsia="Times New Roman"/>
          <w:kern w:val="0"/>
          <w:sz w:val="32"/>
          <w:szCs w:val="32"/>
        </w:rPr>
        <w:t>2018年所属的6家行政事业单位的机关运行经费财政拨款一并纳入预算共计74.69万元，比2017年预算增加37.08万元，增长100%,原因是新增了工会经费10.25万元，福利费17.44万元，其他交通费用9.39万元。</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四、政府采购情况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2018年</w:t>
      </w:r>
      <w:r>
        <w:rPr>
          <w:rFonts w:ascii="??_GB2312" w:hAnsi="楷体" w:eastAsia="Times New Roman"/>
          <w:kern w:val="0"/>
          <w:sz w:val="32"/>
          <w:szCs w:val="32"/>
        </w:rPr>
        <w:t>人力资源和社会保障局</w:t>
      </w:r>
      <w:r>
        <w:rPr>
          <w:rFonts w:ascii="??_GB2312" w:hAnsi="仿宋" w:eastAsia="Times New Roman"/>
          <w:kern w:val="0"/>
          <w:sz w:val="32"/>
          <w:szCs w:val="32"/>
        </w:rPr>
        <w:t>各单位政府采购预算总额0万元，其中：政府采购货物预算0万元、政府采购工程预算0万元、政府采购服务预算0万元。</w:t>
      </w:r>
    </w:p>
    <w:p>
      <w:pPr>
        <w:widowControl/>
        <w:spacing w:line="560" w:lineRule="exact"/>
        <w:ind w:firstLine="636"/>
        <w:rPr>
          <w:rFonts w:ascii="??_GB2312" w:hAnsi="仿宋" w:eastAsia="Times New Roman"/>
          <w:kern w:val="0"/>
          <w:sz w:val="32"/>
          <w:szCs w:val="32"/>
        </w:rPr>
      </w:pPr>
      <w:r>
        <w:rPr>
          <w:rFonts w:ascii="??_GB2312" w:hAnsi="楷体" w:eastAsia="Times New Roman"/>
          <w:kern w:val="0"/>
          <w:sz w:val="32"/>
          <w:szCs w:val="32"/>
        </w:rPr>
        <w:t>五、</w:t>
      </w:r>
      <w:r>
        <w:rPr>
          <w:rFonts w:ascii="??_GB2312" w:hAnsi="仿宋" w:eastAsia="Times New Roman"/>
          <w:kern w:val="0"/>
          <w:sz w:val="32"/>
          <w:szCs w:val="32"/>
        </w:rPr>
        <w:t>绩效管理情况</w:t>
      </w:r>
    </w:p>
    <w:p>
      <w:pPr>
        <w:widowControl/>
        <w:spacing w:line="560" w:lineRule="exact"/>
        <w:ind w:firstLine="636"/>
        <w:rPr>
          <w:rFonts w:ascii="??_GB2312" w:hAnsi="楷体" w:eastAsia="Times New Roman"/>
          <w:kern w:val="0"/>
          <w:sz w:val="32"/>
          <w:szCs w:val="32"/>
        </w:rPr>
      </w:pPr>
      <w:r>
        <w:rPr>
          <w:rFonts w:ascii="??_GB2312" w:hAnsi="仿宋" w:eastAsia="Times New Roman"/>
          <w:kern w:val="0"/>
          <w:sz w:val="32"/>
          <w:szCs w:val="32"/>
        </w:rPr>
        <w:t>2018年</w:t>
      </w:r>
      <w:r>
        <w:rPr>
          <w:rFonts w:ascii="??_GB2312" w:hAnsi="楷体" w:eastAsia="Times New Roman"/>
          <w:kern w:val="0"/>
          <w:sz w:val="32"/>
          <w:szCs w:val="32"/>
        </w:rPr>
        <w:t>人力资源和社会保障局</w:t>
      </w:r>
      <w:r>
        <w:rPr>
          <w:rFonts w:ascii="??_GB2312" w:hAnsi="仿宋" w:eastAsia="Times New Roman"/>
          <w:kern w:val="0"/>
          <w:sz w:val="32"/>
          <w:szCs w:val="32"/>
        </w:rPr>
        <w:t>实行绩效目标管理的项目0个。</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六、其他说明</w:t>
      </w:r>
      <w:r>
        <w:rPr>
          <w:rFonts w:hint="eastAsia" w:ascii="??_GB2312" w:hAnsi="楷体"/>
          <w:kern w:val="0"/>
          <w:sz w:val="32"/>
          <w:szCs w:val="32"/>
          <w:lang w:val="en-US" w:eastAsia="zh-CN"/>
        </w:rPr>
        <w:t xml:space="preserve">   </w:t>
      </w:r>
      <w:r>
        <w:rPr>
          <w:rFonts w:ascii="??_GB2312" w:hAnsi="楷体" w:eastAsia="Times New Roman"/>
          <w:kern w:val="0"/>
          <w:sz w:val="32"/>
          <w:szCs w:val="32"/>
        </w:rPr>
        <w:t>无。</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（一）国有资产占有使用情况</w:t>
      </w:r>
    </w:p>
    <w:p>
      <w:pPr>
        <w:widowControl/>
        <w:tabs>
          <w:tab w:val="left" w:pos="7020"/>
        </w:tabs>
        <w:spacing w:line="560" w:lineRule="exact"/>
        <w:ind w:firstLine="636"/>
        <w:rPr>
          <w:rFonts w:ascii="??_GB2312" w:hAnsi="仿宋" w:eastAsia="Times New Roman"/>
          <w:kern w:val="0"/>
          <w:sz w:val="32"/>
          <w:szCs w:val="32"/>
        </w:rPr>
      </w:pPr>
      <w:r>
        <w:rPr>
          <w:rFonts w:ascii="??_GB2312" w:hAnsi="仿宋" w:eastAsia="Times New Roman"/>
          <w:kern w:val="0"/>
          <w:sz w:val="32"/>
          <w:szCs w:val="32"/>
        </w:rPr>
        <w:t>1.车辆情况：有小型载客车3辆。</w:t>
      </w:r>
      <w:r>
        <w:rPr>
          <w:rFonts w:ascii="??_GB2312" w:hAnsi="仿宋" w:eastAsia="Times New Roman"/>
          <w:kern w:val="0"/>
          <w:sz w:val="32"/>
          <w:szCs w:val="32"/>
        </w:rPr>
        <w:tab/>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2.房屋情况：自建办公楼。</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3.其他国有资产占有使用情况：无。</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（二）其他  无。</w:t>
      </w:r>
    </w:p>
    <w:p>
      <w:pPr>
        <w:widowControl/>
        <w:spacing w:line="560" w:lineRule="exact"/>
        <w:ind w:firstLine="636"/>
        <w:rPr>
          <w:rFonts w:ascii="??_GB2312" w:hAnsi="仿宋" w:eastAsia="Times New Roman"/>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（一）基本支出</w:t>
      </w:r>
      <w:r>
        <w:rPr>
          <w:rFonts w:ascii="??_GB2312" w:hAnsi="仿宋" w:eastAsia="Times New Roman"/>
          <w:kern w:val="0"/>
          <w:sz w:val="32"/>
          <w:szCs w:val="32"/>
        </w:rPr>
        <w:t>：指为保障机构正常运转、完成日常</w:t>
      </w:r>
    </w:p>
    <w:p>
      <w:pPr>
        <w:widowControl/>
        <w:snapToGrid w:val="0"/>
        <w:spacing w:line="560" w:lineRule="exact"/>
        <w:rPr>
          <w:rFonts w:ascii="??_GB2312" w:hAnsi="仿宋" w:eastAsia="Times New Roman"/>
          <w:kern w:val="0"/>
          <w:sz w:val="32"/>
          <w:szCs w:val="32"/>
        </w:rPr>
      </w:pPr>
      <w:r>
        <w:rPr>
          <w:rFonts w:ascii="??_GB2312" w:hAnsi="仿宋" w:eastAsia="Times New Roman"/>
          <w:kern w:val="0"/>
          <w:sz w:val="32"/>
          <w:szCs w:val="32"/>
        </w:rPr>
        <w:t>工作任务而发生的人员支出和公用支出。</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（二）项目支出</w:t>
      </w:r>
      <w:r>
        <w:rPr>
          <w:rFonts w:ascii="??_GB2312" w:hAnsi="仿宋" w:eastAsia="Times New Roman"/>
          <w:kern w:val="0"/>
          <w:sz w:val="32"/>
          <w:szCs w:val="32"/>
        </w:rPr>
        <w:t>：指在基本支出之外为完成特定行政任</w:t>
      </w:r>
    </w:p>
    <w:p>
      <w:pPr>
        <w:widowControl/>
        <w:spacing w:line="560" w:lineRule="exact"/>
        <w:rPr>
          <w:rFonts w:ascii="??_GB2312" w:hAnsi="仿宋" w:eastAsia="Times New Roman"/>
          <w:kern w:val="0"/>
          <w:sz w:val="32"/>
          <w:szCs w:val="32"/>
        </w:rPr>
      </w:pPr>
      <w:r>
        <w:rPr>
          <w:rFonts w:ascii="??_GB2312" w:hAnsi="仿宋" w:eastAsia="Times New Roman"/>
          <w:kern w:val="0"/>
          <w:sz w:val="32"/>
          <w:szCs w:val="32"/>
        </w:rPr>
        <w:t>务和事业发展目标所发生的支出。</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（三）“三公”经费</w:t>
      </w:r>
      <w:r>
        <w:rPr>
          <w:rFonts w:ascii="??_GB2312" w:hAnsi="仿宋" w:eastAsia="Times New Roman"/>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Times New Roman"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ascii="??_GB2312" w:hAnsi="楷体" w:eastAsia="Times New Roman"/>
          <w:kern w:val="0"/>
          <w:sz w:val="32"/>
          <w:szCs w:val="32"/>
        </w:rPr>
        <w:t>（四）机关运行经费</w:t>
      </w:r>
      <w:r>
        <w:rPr>
          <w:rFonts w:ascii="??_GB2312" w:hAnsi="仿宋" w:eastAsia="Times New Roman"/>
          <w:kern w:val="0"/>
          <w:sz w:val="32"/>
          <w:szCs w:val="32"/>
        </w:rPr>
        <w:t>：指行政单位和参照公务员法管理的事业单位使用一般公共预算安排的基本支出中的日常公用经费支出。</w:t>
      </w:r>
    </w:p>
    <w:p/>
    <w:sectPr>
      <w:headerReference r:id="rId6" w:type="default"/>
      <w:footerReference r:id="rId7" w:type="default"/>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Dotum">
    <w:altName w:val="Malgun Gothic"/>
    <w:panose1 w:val="020B0600000101010101"/>
    <w:charset w:val="81"/>
    <w:family w:val="swiss"/>
    <w:pitch w:val="default"/>
    <w:sig w:usb0="00000000" w:usb1="00000000" w:usb2="00000030" w:usb3="00000000" w:csb0="0008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4</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6</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C36"/>
    <w:rsid w:val="00254D0C"/>
    <w:rsid w:val="002A6B61"/>
    <w:rsid w:val="00353AC7"/>
    <w:rsid w:val="003956AE"/>
    <w:rsid w:val="004679AF"/>
    <w:rsid w:val="00553392"/>
    <w:rsid w:val="00862D4D"/>
    <w:rsid w:val="00897F0F"/>
    <w:rsid w:val="00985508"/>
    <w:rsid w:val="00B00C36"/>
    <w:rsid w:val="00EE2D63"/>
    <w:rsid w:val="06EB1F4D"/>
    <w:rsid w:val="0E0A19CE"/>
    <w:rsid w:val="11E033B3"/>
    <w:rsid w:val="366C7540"/>
    <w:rsid w:val="398D5FBB"/>
    <w:rsid w:val="47013D70"/>
    <w:rsid w:val="6443185F"/>
    <w:rsid w:val="6B3B173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locked/>
    <w:uiPriority w:val="99"/>
    <w:rPr>
      <w:rFonts w:cs="Times New Roman"/>
      <w:sz w:val="18"/>
      <w:szCs w:val="18"/>
    </w:rPr>
  </w:style>
  <w:style w:type="paragraph" w:customStyle="1" w:styleId="9">
    <w:name w:val="Char Char Char Char Char Char Char"/>
    <w:basedOn w:val="1"/>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325</Words>
  <Characters>1855</Characters>
  <Lines>0</Lines>
  <Paragraphs>0</Paragraphs>
  <TotalTime>36</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LX</cp:lastModifiedBy>
  <cp:lastPrinted>2018-05-21T08:58:00Z</cp:lastPrinted>
  <dcterms:modified xsi:type="dcterms:W3CDTF">2018-05-22T03:08:14Z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